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00"/>
      </w:pPr>
      <w:r>
        <w:rPr>
          <w:rFonts w:ascii="Arial" w:hAnsi="Arial" w:eastAsia="Arial" w:cs="Arial"/>
          <w:sz w:val="28"/>
          <w:szCs w:val="28"/>
          <w:b w:val="1"/>
          <w:bCs w:val="1"/>
        </w:rPr>
        <w:t xml:space="preserve">CONTRATO ESTÁNDAR PARA LA ADQUISICIÓN DE BIENES Y/O PRESTACIÓN DE SERVICIOS (CE)</w:t>
      </w:r>
    </w:p>
    <w:tbl>
      <w:tblGrid>
        <w:gridCol w:w="2500" w:type="dxa"/>
        <w:gridCol w:w="5500" w:type="dxa"/>
      </w:tblGrid>
      <w:tblPr>
        <w:tblStyle w:val="ContratoTable"/>
      </w:tblP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Número de Contrato Suplos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C-0011-2026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CONTRATANTE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BANCO DAVIVIENDA INTERNACIONAL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NIT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155601031-2-2015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CONTRATISTA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HYDRO KLEEN SYSTEMS GROUP S.A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TAX-ID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1731692-1-692622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Objeto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Pruebas Estandar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Valor tope antes de impuestos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$ 5.738.549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Moneda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COP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Forma de pago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contado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Condición de incremento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Otra ¿A partir de qué fecha aplican los incrementos? 02/10/2026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inicial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02/10/2026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final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30/04/2028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Supervisor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137 123123 PRUEBAS DEV NO EJECUTIVO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Instancia Aprobadora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Tipo Comité Comité de Compras</w:t>
            </w:r>
            <w:br/>
            <w:r>
              <w:rPr>
                <w:rFonts w:ascii="Arial" w:hAnsi="Arial" w:eastAsia="Arial" w:cs="Arial"/>
              </w:rPr>
              <w:t xml:space="preserve">Número de Comité 4837494</w:t>
            </w:r>
            <w:br/>
            <w:r>
              <w:rPr>
                <w:rFonts w:ascii="Arial" w:hAnsi="Arial" w:eastAsia="Arial" w:cs="Arial"/>
              </w:rPr>
              <w:t xml:space="preserve">Fecha de aprobación de Comité 16/10/2026</w:t>
            </w:r>
            <w:br/>
            <w:r>
              <w:rPr>
                <w:rFonts w:ascii="Arial" w:hAnsi="Arial" w:eastAsia="Arial" w:cs="Arial"/>
              </w:rPr>
              <w:t xml:space="preserve">Número Solicitud: C-0011-2026</w:t>
            </w:r>
            <w:br/>
            <w:r>
              <w:rPr>
                <w:rFonts w:ascii="Arial" w:hAnsi="Arial" w:eastAsia="Arial" w:cs="Arial"/>
              </w:rPr>
              <w:t xml:space="preserve">Comprador 8</w:t>
            </w:r>
            <w:br/>
            <w:r>
              <w:rPr>
                <w:rFonts w:ascii="Arial" w:hAnsi="Arial" w:eastAsia="Arial" w:cs="Arial"/>
              </w:rPr>
              <w:t xml:space="preserve">Abogado 259</w:t>
            </w:r>
            <w:br/>
            <w:r>
              <w:rPr>
                <w:rFonts w:ascii="Arial" w:hAnsi="Arial" w:eastAsia="Arial" w:cs="Arial"/>
              </w:rPr>
              <w:t xml:space="preserve">Especialidad 282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Pólizas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Anexos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</w:tbl>
    <w:p>
      <w:pPr>
        <w:jc w:val="both"/>
        <w:spacing w:before="200" w:after="0"/>
      </w:pPr>
      <w:r>
        <w:rPr>
          <w:rFonts w:ascii="Arial" w:hAnsi="Arial" w:eastAsia="Arial" w:cs="Arial"/>
          <w:sz w:val="18"/>
          <w:szCs w:val="18"/>
          <w:i w:val="1"/>
          <w:iCs w:val="1"/>
        </w:rPr>
        <w:t xml:space="preserve">Para todos los efectos, cuando en este documento se mencione la palabra "Carátula", se entenderá que hace referencia a este apartado del documento. Lo estipulado en esta sección y en todo el documento es obligatorio y vinculante para las PARTES.</w:t>
      </w:r>
    </w:p>
    <w:sectPr>
      <w:pgSz w:orient="portrait" w:w="11905.511811023621703498065471649169921875" w:h="16837.7952755905498634092509746551513671875"/>
      <w:pgMar w:top="200" w:right="1800" w:bottom="800" w:left="1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s-E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ntratoTable">
    <w:name w:val="ContratoTable"/>
    <w:uiPriority w:val="99"/>
    <w:tblPr>
      <w:tblW w:w="0" w:type="auto"/>
      <w:tblLayout w:type="autofit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2026-10-02T15:34:34-05:00</dcterms:created>
  <dcterms:modified xsi:type="dcterms:W3CDTF">2026-10-02T15:34:34-05:00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